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26" w:rsidRPr="00CE3626" w:rsidRDefault="00CE3626" w:rsidP="0057325E">
      <w:pPr>
        <w:tabs>
          <w:tab w:val="left" w:pos="2835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>Міністерство освіти і науки України</w:t>
      </w:r>
    </w:p>
    <w:p w:rsidR="00CE3626" w:rsidRPr="00CE3626" w:rsidRDefault="00CE3626" w:rsidP="0057325E">
      <w:pPr>
        <w:tabs>
          <w:tab w:val="left" w:pos="2835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>Районний методичний кабінет</w:t>
      </w:r>
    </w:p>
    <w:p w:rsidR="00CE3626" w:rsidRPr="00CE3626" w:rsidRDefault="00CE3626" w:rsidP="0057325E">
      <w:pPr>
        <w:tabs>
          <w:tab w:val="left" w:pos="2835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>відділу освіти Яворівської райдержадміністрації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 xml:space="preserve">СЗШ І-ІІІ ступенів ім. Юрія </w:t>
      </w:r>
      <w:proofErr w:type="spellStart"/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>Костіва</w:t>
      </w:r>
      <w:proofErr w:type="spellEnd"/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 xml:space="preserve"> с. </w:t>
      </w:r>
      <w:proofErr w:type="spellStart"/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>Старичі</w:t>
      </w:r>
      <w:proofErr w:type="spellEnd"/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  <w:t xml:space="preserve">РОЗВИТОК 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  <w:t xml:space="preserve">ДЕМОКРАТИЧНИХ КОМПЕТЕНТНОСТЕЙ 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  <w:t xml:space="preserve">НА УРОКАХ 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  <w:t>УКРАЇНСЬКОЇ ЛІТЕРАТУРИ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 xml:space="preserve">Методичні матеріали 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 xml:space="preserve">щодо формування демократичних </w:t>
      </w:r>
      <w:proofErr w:type="spellStart"/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 xml:space="preserve"> 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>на уроках української літератури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sz w:val="32"/>
          <w:szCs w:val="28"/>
          <w:lang w:bidi="en-US"/>
        </w:rPr>
      </w:pPr>
      <w:proofErr w:type="spellStart"/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>Старичі</w:t>
      </w:r>
      <w:proofErr w:type="spellEnd"/>
      <w:r w:rsidRPr="00CE3626">
        <w:rPr>
          <w:rFonts w:ascii="Times New Roman" w:eastAsiaTheme="minorEastAsia" w:hAnsi="Times New Roman" w:cs="Times New Roman"/>
          <w:sz w:val="32"/>
          <w:szCs w:val="28"/>
          <w:lang w:bidi="en-US"/>
        </w:rPr>
        <w:t xml:space="preserve"> 2019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Укладач: Бовт Мирослава Василівна, вчитель української мови та літератури, зарубіжної літератури.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Комп’ютерний набір та верстка: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Сарнавська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Христина Ярославівна, вчитель української мови та літератури, зарубіжної літератури.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У збірнику запропоновано методики, розробки уроку української літератури та виховного заходу, які сприяють розвитку демократичних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та громадянської відповідальності.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Рецензенти:</w:t>
      </w:r>
    </w:p>
    <w:p w:rsid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Косик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Наталія Михайлівна – вчитель географії, директор СЗШ І-ІІІ ступенів 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ім. Юрія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Костіва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с.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Старичі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Пономарьова Марія Степанівна - методист методичного кабінету відділу освіти Яворівської РДА. 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  <w:t>Дітям не потрібні ідеальні вчителі!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  <w:t>Їм потрібні вчителі,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  <w:t>які розпалюють жагу до знань,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  <w:t>які вселяють віру в свої сили.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center"/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i/>
          <w:sz w:val="40"/>
          <w:szCs w:val="28"/>
          <w:lang w:bidi="en-US"/>
        </w:rPr>
        <w:t>І спонукають щодня усміхатись…</w:t>
      </w:r>
    </w:p>
    <w:p w:rsidR="00CE3626" w:rsidRPr="00CE3626" w:rsidRDefault="00CE3626" w:rsidP="00CE3626">
      <w:pPr>
        <w:tabs>
          <w:tab w:val="left" w:pos="2835"/>
        </w:tabs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line="36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Зміст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Вступ</w:t>
      </w:r>
    </w:p>
    <w:p w:rsidR="00CE3626" w:rsidRPr="00CE3626" w:rsidRDefault="00CE3626" w:rsidP="00CE3626">
      <w:pPr>
        <w:numPr>
          <w:ilvl w:val="0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Принципи й засади демократичної школи</w:t>
      </w:r>
    </w:p>
    <w:p w:rsidR="00CE3626" w:rsidRPr="00CE3626" w:rsidRDefault="00CE3626" w:rsidP="00CE3626">
      <w:pPr>
        <w:numPr>
          <w:ilvl w:val="0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Розвиток демократичних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</w:p>
    <w:p w:rsidR="00CE3626" w:rsidRPr="00CE3626" w:rsidRDefault="00CE3626" w:rsidP="00CE3626">
      <w:pPr>
        <w:numPr>
          <w:ilvl w:val="0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Формування громадянської відповідальності</w:t>
      </w:r>
    </w:p>
    <w:p w:rsidR="00CE3626" w:rsidRPr="00CE3626" w:rsidRDefault="00CE3626" w:rsidP="00CE3626">
      <w:pPr>
        <w:numPr>
          <w:ilvl w:val="0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Формування соціальних та громадянських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на уроках української літератури</w:t>
      </w:r>
    </w:p>
    <w:p w:rsidR="00CE3626" w:rsidRPr="00CE3626" w:rsidRDefault="00CE3626" w:rsidP="00CE3626">
      <w:pPr>
        <w:numPr>
          <w:ilvl w:val="1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Розвиток соціальних та громадянських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при вивченні творів української літератури</w:t>
      </w:r>
    </w:p>
    <w:p w:rsidR="00CE3626" w:rsidRPr="00CE3626" w:rsidRDefault="00CE3626" w:rsidP="00CE3626">
      <w:pPr>
        <w:numPr>
          <w:ilvl w:val="1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Навчання для формування світогляду учнів</w:t>
      </w:r>
    </w:p>
    <w:p w:rsidR="00CE3626" w:rsidRPr="00CE3626" w:rsidRDefault="00CE3626" w:rsidP="00CE3626">
      <w:pPr>
        <w:numPr>
          <w:ilvl w:val="1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Використання практичного досвіду в навчальних цілях</w:t>
      </w:r>
    </w:p>
    <w:p w:rsidR="00CE3626" w:rsidRPr="00CE3626" w:rsidRDefault="00CE3626" w:rsidP="00CE3626">
      <w:pPr>
        <w:numPr>
          <w:ilvl w:val="0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Розробка уроку з української літератури</w:t>
      </w:r>
    </w:p>
    <w:p w:rsidR="00CE3626" w:rsidRPr="00CE3626" w:rsidRDefault="00CE3626" w:rsidP="00CE3626">
      <w:pPr>
        <w:numPr>
          <w:ilvl w:val="0"/>
          <w:numId w:val="8"/>
        </w:numPr>
        <w:tabs>
          <w:tab w:val="left" w:pos="2835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Розробка дослідницького проекту «Таємниці письменницьких шухляд.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Висновки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Список використаної літератури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Вступ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Поняття «школа» виходить далеко за межі традиційного розуміння. Сьогодні це не лише передавання знань від учителя до учня, це щось значно більше. Школа виконує навчальну і виховну функцію, готує громадян до життя в демократичному суспільстві, де важливо вміти взаємодіяти з іншими. Саме тут людина отримує перший досвід спільного співжиття, тому важливо, щоб на основі цього досвіду формувалась активна громадянська позиція.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numPr>
          <w:ilvl w:val="0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Принципи й засади демократичної школи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Нова школа допомагає учневі вчитися керувати своїм життям, критично сприймати та аналізувати інформацію, бути відповідальним, працювати в команді – набувати та розвивати вміння і навички, необхідні для адаптації в демократичному суспільстві.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Щоб знайти відповідь на запитання «Яка освіта нам потрібна»?, спитаймо себе: «А у якому суспільстві ми хочемо жити?».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Eugenio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Tironi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: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El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sueño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chileno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(2005)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Для демократичного громадянства традиційна освіта, а також освіта з прав людини повинні навчити правил і принципів спільного життя у повазі один до одного. Ми живемо в багатоманітному демократичному суспільстві, тому важливо знати і розуміти свої права, а також брати активну участь у прийнятті рішень, які нас стосуються.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numPr>
          <w:ilvl w:val="0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Розвиток демократичних </w:t>
      </w:r>
      <w:proofErr w:type="spellStart"/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компетентностей</w:t>
      </w:r>
      <w:proofErr w:type="spellEnd"/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Уже не одна країна світу визнала, що демократичні компетентності – це ключові результати навчання у школі. Україна – не виняток. Концепція нової української школи пропонує розвивати компетентності для життя у суспільстві й державі й задля цього оновити зміст освіти, поглибити автономію школи та вчителя. Соціальні та громадянські компетентності — це всі форми поведінки, 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які потрібні для ефект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ивної та конструктивної участі </w:t>
      </w:r>
      <w:r>
        <w:rPr>
          <w:rFonts w:ascii="Times New Roman" w:eastAsiaTheme="minorEastAsia" w:hAnsi="Times New Roman" w:cs="Times New Roman"/>
          <w:sz w:val="28"/>
          <w:szCs w:val="28"/>
          <w:lang w:val="ru-RU" w:bidi="en-US"/>
        </w:rPr>
        <w:t>в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громадському житті, на роботі. Уміння працювати з іншими на результат, попереджати і розв’язувати конфлікти, досягати компромісів</w:t>
      </w:r>
      <w:r w:rsidRPr="00CE3626">
        <w:rPr>
          <w:rFonts w:ascii="Times New Roman" w:eastAsiaTheme="minorEastAsia" w:hAnsi="Times New Roman" w:cs="Times New Roman"/>
          <w:sz w:val="28"/>
          <w:vertAlign w:val="superscript"/>
          <w:lang w:bidi="en-US"/>
        </w:rPr>
        <w:footnoteReference w:id="1"/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Демократична школа – це не ідеальна школа. Тут теж є свої проблеми. Але це школа, у якій суб’єкти шкільного життя поважають один одного, шукають спільні рішення будь-яких питань. В демократичній школі учні не бояться говорити про виклики та труднощі, а разом з наставниками працюють над пошуком шляхів вирішення проблемних ситуацій. Це школа, у якій чітко дотримуються демократичних принципів.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Пам’ятаймо, що демократія – це процес, а не результат. Школа постійно зміцнює відносини між учасниками навчально-виховного процесу. Ми прагнемо змінити школу, тому готові змінюватись самі. Ми готові до того, що на шляху траплятимуться помилки та невдачі, які потрібно сприймати та виправляти.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Загальношкільний підхід до розвитку демократичних громадянських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реалізується через спільні зусилля всіх учасників навчально-виховного процесу, спрямовані на комплексне вивчення та практику демократичних принципів і поваги до прав людини у всіх сферах шкільного життя</w:t>
      </w:r>
      <w:r w:rsidRPr="00CE3626">
        <w:rPr>
          <w:rFonts w:ascii="Times New Roman" w:eastAsiaTheme="minorEastAsia" w:hAnsi="Times New Roman" w:cs="Times New Roman"/>
          <w:sz w:val="28"/>
          <w:vertAlign w:val="superscript"/>
          <w:lang w:bidi="en-US"/>
        </w:rPr>
        <w:footnoteReference w:id="2"/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</w:p>
    <w:p w:rsid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Досвід показує, що розвиток демократичних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 школі буде максимально ефективним тоді, коли це стане завданням не лише окремих предметів, а усіх сфер шкільного життя, коли увесь навчально-виховний процес буде базуватися на цінностях прав людини, демократичній участі, рівності та партнерстві. Адже як зміст та методи навчання, так і виховна робота, участь у громадському житті та шкільному врядуванні впливають на становлення нас як громадян</w:t>
      </w:r>
      <w:r w:rsidRPr="00CE3626">
        <w:rPr>
          <w:rFonts w:ascii="Times New Roman" w:eastAsiaTheme="minorEastAsia" w:hAnsi="Times New Roman" w:cs="Times New Roman"/>
          <w:sz w:val="28"/>
          <w:vertAlign w:val="superscript"/>
          <w:lang w:bidi="en-US"/>
        </w:rPr>
        <w:footnoteReference w:id="3"/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</w:p>
    <w:p w:rsidR="00CE3626" w:rsidRDefault="007764A3">
      <w:r>
        <w:rPr>
          <w:noProof/>
          <w:lang w:eastAsia="uk-UA"/>
        </w:rPr>
        <w:lastRenderedPageBreak/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26" type="#_x0000_t76" style="position:absolute;margin-left:-118.4pt;margin-top:92.45pt;width:690.2pt;height:575.1pt;rotation:90;z-index:251658239" fillcolor="#b2a1c7 [1943]" strokecolor="#5f497a [2407]" strokeweight="1.5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26">
              <w:txbxContent>
                <w:p w:rsidR="00424103" w:rsidRPr="00126D50" w:rsidRDefault="00126D50" w:rsidP="00313868">
                  <w:pPr>
                    <w:spacing w:after="0"/>
                    <w:ind w:left="7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r w:rsidR="00424103"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Цінності:</w:t>
                  </w:r>
                </w:p>
                <w:p w:rsidR="00424103" w:rsidRPr="001511BA" w:rsidRDefault="00424103" w:rsidP="00424103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Повага до людської гідності та прав людини</w:t>
                  </w:r>
                </w:p>
                <w:p w:rsidR="00424103" w:rsidRPr="001511BA" w:rsidRDefault="00424103" w:rsidP="00424103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Визнання цінності культурного </w:t>
                  </w:r>
                  <w:proofErr w:type="spellStart"/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багатоманіття</w:t>
                  </w:r>
                  <w:proofErr w:type="spellEnd"/>
                </w:p>
                <w:p w:rsidR="00424103" w:rsidRPr="001511BA" w:rsidRDefault="00424103" w:rsidP="00424103">
                  <w:pPr>
                    <w:pStyle w:val="a3"/>
                    <w:numPr>
                      <w:ilvl w:val="0"/>
                      <w:numId w:val="2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Визнання цінності демократії справедливості, </w:t>
                  </w:r>
                </w:p>
                <w:p w:rsidR="00424103" w:rsidRPr="00313868" w:rsidRDefault="00424103" w:rsidP="00313868">
                  <w:pPr>
                    <w:pStyle w:val="a3"/>
                    <w:spacing w:after="0"/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рівності  і вер</w:t>
                  </w:r>
                  <w:r w:rsidRPr="003138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ховенства права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roundrect id="_x0000_s1031" style="position:absolute;margin-left:157.15pt;margin-top:349.55pt;width:145.65pt;height:82.55pt;z-index:251663360" arcsize="10923f" fillcolor="#b2a1c7 [1943]" strokecolor="#7030a0" strokeweight="1pt">
            <v:fill color2="#e5dfec [663]" angle="-45" focusposition="1" focussize="" focus="-50%" type="gradient"/>
            <v:shadow on="t" type="perspective" color="#3f3151 [1607]" opacity=".5" offset="1pt" offset2="-3pt"/>
            <v:textbox style="mso-next-textbox:#_x0000_s1031">
              <w:txbxContent>
                <w:p w:rsidR="00856823" w:rsidRPr="00875E48" w:rsidRDefault="00856823" w:rsidP="00856823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48"/>
                    </w:rPr>
                  </w:pPr>
                  <w:r w:rsidRPr="00875E48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48"/>
                    </w:rPr>
                    <w:t>Демократичні компетентності</w:t>
                  </w:r>
                </w:p>
              </w:txbxContent>
            </v:textbox>
          </v:roundrect>
        </w:pict>
      </w: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15pt;margin-top:312.75pt;width:166.45pt;height:136.75pt;z-index:251660288" filled="f" stroked="f">
            <v:textbox style="mso-next-textbox:#_x0000_s1028">
              <w:txbxContent>
                <w:p w:rsidR="001511BA" w:rsidRPr="001511BA" w:rsidRDefault="001511BA" w:rsidP="001511BA">
                  <w:pPr>
                    <w:spacing w:after="0"/>
                    <w:ind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Навички та вміння: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Навички автономного навчанн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Аналітичне і критичне мислення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Вміння слухати та спостерігати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Емпатія</w:t>
                  </w:r>
                  <w:proofErr w:type="spellEnd"/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Гнучкість та адаптація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Лінгвістичні, комунікативні навички та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багатомовність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Навички співпраці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left="142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Навички вирішення конфліктів</w:t>
                  </w:r>
                </w:p>
                <w:p w:rsidR="00856823" w:rsidRDefault="00856823" w:rsidP="0085682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6823" w:rsidRDefault="00856823" w:rsidP="0085682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56823" w:rsidRPr="00856823" w:rsidRDefault="00856823" w:rsidP="0085682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02.8pt;margin-top:298.05pt;width:177.7pt;height:197.4pt;z-index:251662336;mso-width-relative:margin;mso-height-relative:margin" filled="f" stroked="f">
            <v:textbox style="mso-next-textbox:#_x0000_s1029">
              <w:txbxContent>
                <w:p w:rsidR="001511BA" w:rsidRDefault="001511BA" w:rsidP="001511B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511BA" w:rsidRPr="001511BA" w:rsidRDefault="001511BA" w:rsidP="001511BA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Знання та їх критичне розуміння: 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Знання самого себе та критична самооцінка</w:t>
                  </w:r>
                </w:p>
                <w:p w:rsidR="001511BA" w:rsidRDefault="001511BA" w:rsidP="001511BA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Знання та критичне розуміння мови і особливостей </w:t>
                  </w:r>
                </w:p>
                <w:p w:rsidR="001511BA" w:rsidRDefault="001511BA" w:rsidP="001511BA">
                  <w:pPr>
                    <w:pStyle w:val="a3"/>
                    <w:spacing w:after="0"/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спілкування</w:t>
                  </w:r>
                </w:p>
                <w:p w:rsidR="001511BA" w:rsidRPr="001511BA" w:rsidRDefault="001511BA" w:rsidP="001511BA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Знання та критичне розуміння світу: політики, права, прав людини, культури, релігії, історії, ЗМІ, економіки тощо</w:t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27" type="#_x0000_t202" style="position:absolute;margin-left:177pt;margin-top:460.1pt;width:115.05pt;height:203.6pt;z-index:251659264" filled="f" stroked="f">
            <v:textbox style="mso-next-textbox:#_x0000_s1027">
              <w:txbxContent>
                <w:p w:rsidR="00424103" w:rsidRPr="00424103" w:rsidRDefault="00875E48" w:rsidP="004241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424103" w:rsidRPr="00424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Ставлення:</w:t>
                  </w:r>
                </w:p>
                <w:p w:rsidR="001511BA" w:rsidRDefault="00424103" w:rsidP="0042410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Відкритість до інших культур, переконань та </w:t>
                  </w:r>
                </w:p>
                <w:p w:rsidR="00424103" w:rsidRPr="001511BA" w:rsidRDefault="00424103" w:rsidP="001511BA">
                  <w:pPr>
                    <w:pStyle w:val="a3"/>
                    <w:spacing w:after="0" w:line="240" w:lineRule="auto"/>
                    <w:ind w:left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світогляду </w:t>
                  </w:r>
                  <w:r w:rsid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511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інших людей</w:t>
                  </w:r>
                </w:p>
                <w:p w:rsidR="001511BA" w:rsidRDefault="00424103" w:rsidP="0042410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Повага       </w:t>
                  </w:r>
                </w:p>
                <w:p w:rsidR="001511BA" w:rsidRDefault="00424103" w:rsidP="0042410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Громадянська свідомість   </w:t>
                  </w:r>
                </w:p>
                <w:p w:rsidR="00424103" w:rsidRPr="00424103" w:rsidRDefault="00424103" w:rsidP="0042410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Відповідальність</w:t>
                  </w:r>
                </w:p>
                <w:p w:rsidR="001511BA" w:rsidRDefault="00424103" w:rsidP="0042410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Впевненість у собі       </w:t>
                  </w:r>
                </w:p>
                <w:p w:rsidR="00424103" w:rsidRPr="00424103" w:rsidRDefault="00424103" w:rsidP="00424103">
                  <w:pPr>
                    <w:pStyle w:val="a3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24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Прийняття невизначеності</w:t>
                  </w:r>
                </w:p>
              </w:txbxContent>
            </v:textbox>
          </v:shape>
        </w:pict>
      </w:r>
      <w:r w:rsidR="00856823">
        <w:t xml:space="preserve">  </w:t>
      </w:r>
    </w:p>
    <w:p w:rsidR="00CE3626" w:rsidRDefault="00CE3626">
      <w:r>
        <w:br w:type="page"/>
      </w:r>
    </w:p>
    <w:p w:rsidR="00CE3626" w:rsidRDefault="00CE3626">
      <w:pPr>
        <w:rPr>
          <w:lang w:val="ru-RU"/>
        </w:rPr>
      </w:pPr>
    </w:p>
    <w:p w:rsidR="00CE3626" w:rsidRPr="00CE3626" w:rsidRDefault="00CE3626" w:rsidP="00CE3626">
      <w:pPr>
        <w:numPr>
          <w:ilvl w:val="0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Формування громадянської відповідальності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Демократія – це постійний розвиток на навчання упродовж усього життя. Свідомими громадянами не народжуються, ми стаємо ними у процесі освіти та виховання. Завдання сучасної школи – це створення демократичного середовища для навчання й виховання дітей на основі цінностей демократії і прав людини.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Концепція реформування української школи закладає докорінно нові підходи до освітнього процесу, пропонуючи педагогам переорієнтувати увагу на формування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учнів, відійшовши від традиційних методик простого передавання знань.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Щоб стати відповідальними активними громадянами, учні мають розвивати не лише знання й розуміння політичної та правової системи та інститутів, а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й володіти такими навичками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:</w:t>
      </w:r>
    </w:p>
    <w:p w:rsidR="00CE3626" w:rsidRPr="00CE3626" w:rsidRDefault="00CE3626" w:rsidP="00CE3626">
      <w:pPr>
        <w:numPr>
          <w:ilvl w:val="0"/>
          <w:numId w:val="13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формулювати,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комунікувати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й відстоювати власну думку;</w:t>
      </w:r>
    </w:p>
    <w:p w:rsidR="00CE3626" w:rsidRPr="00CE3626" w:rsidRDefault="00CE3626" w:rsidP="00CE3626">
      <w:pPr>
        <w:numPr>
          <w:ilvl w:val="0"/>
          <w:numId w:val="13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бути впевненими в собі;</w:t>
      </w:r>
    </w:p>
    <w:p w:rsidR="00CE3626" w:rsidRPr="00CE3626" w:rsidRDefault="00CE3626" w:rsidP="00CE3626">
      <w:pPr>
        <w:numPr>
          <w:ilvl w:val="0"/>
          <w:numId w:val="13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розвивати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емпатію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</w:p>
    <w:p w:rsidR="00CE3626" w:rsidRPr="00CE3626" w:rsidRDefault="00CE3626" w:rsidP="00CE3626">
      <w:pPr>
        <w:numPr>
          <w:ilvl w:val="0"/>
          <w:numId w:val="13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бути готовими діяти чи утримуватися від необдуманих дій у ситуації невизначеності;</w:t>
      </w:r>
    </w:p>
    <w:p w:rsidR="00CE3626" w:rsidRPr="00CE3626" w:rsidRDefault="00CE3626" w:rsidP="00CE3626">
      <w:pPr>
        <w:numPr>
          <w:ilvl w:val="0"/>
          <w:numId w:val="13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співпрацювати з різними людьми, поважати себе й інших.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Розвиток такого комплексу знань, навичок і ставлень дає змогу учням підготуватися до самостійного відповідального життя, зваженого прийняття рішень і ефективної взаємодії у спільноті – у класі, школі, місцевій громаді, державі. Ці тісно пов’язані компоненти громадянської компетентності формуються комплексно. Завдання школи – створити належні умови для набуття цього комплексу знань, навичок і ставлень.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Формування ключових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вимагає інтегрованості змісту навчання, що сприяє усвідомленню зв’язків між усіма предметами і поєднанню знань у різних сферах.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numPr>
          <w:ilvl w:val="0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Формування соціальної та громадянської </w:t>
      </w:r>
      <w:proofErr w:type="spellStart"/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на уроках української літератури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Розвиток соціальної та громадянської компетентності на уроках української літератури в межах наскрізної змістової лінії «громадянська відповідальність» спрямовано на формування відповідального члена громади й суспільства, який розуміє принципи і механізми їх функціонування, а також важливість національної ініціативи, опирається на культурні традиції і напрямки розвитку держави.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numPr>
          <w:ilvl w:val="1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Розвиток соціальних та громадянських </w:t>
      </w:r>
      <w:proofErr w:type="spellStart"/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при вивченні творів української літератури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При вивченні української літератури розвиток соціальної та громадянської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відбувається  через: </w:t>
      </w:r>
    </w:p>
    <w:p w:rsidR="00CE3626" w:rsidRPr="00CE3626" w:rsidRDefault="00CE3626" w:rsidP="00CE3626">
      <w:pPr>
        <w:numPr>
          <w:ilvl w:val="0"/>
          <w:numId w:val="14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засвоєння знань про громадянську відповідальність;</w:t>
      </w:r>
    </w:p>
    <w:p w:rsidR="00CE3626" w:rsidRPr="00CE3626" w:rsidRDefault="00CE3626" w:rsidP="00CE3626">
      <w:pPr>
        <w:numPr>
          <w:ilvl w:val="0"/>
          <w:numId w:val="14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розвитку розуміння і ставлення до громадянської відповідальності;</w:t>
      </w:r>
    </w:p>
    <w:p w:rsidR="00CE3626" w:rsidRPr="00CE3626" w:rsidRDefault="00CE3626" w:rsidP="00CE3626">
      <w:pPr>
        <w:numPr>
          <w:ilvl w:val="0"/>
          <w:numId w:val="14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здобуття практичного досвіду громадянської відповідальності.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На уроках української літератури навчають, що:</w:t>
      </w:r>
    </w:p>
    <w:p w:rsidR="00CE3626" w:rsidRPr="00CE3626" w:rsidRDefault="00CE3626" w:rsidP="00CE3626">
      <w:pPr>
        <w:numPr>
          <w:ilvl w:val="0"/>
          <w:numId w:val="15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українська література – це  свідчення високої духовної та цивілізаційної розвиненості українського народу, невіддільна складову його національної культури;</w:t>
      </w:r>
    </w:p>
    <w:p w:rsidR="00CE3626" w:rsidRPr="00CE3626" w:rsidRDefault="00CE3626" w:rsidP="00CE3626">
      <w:pPr>
        <w:numPr>
          <w:ilvl w:val="0"/>
          <w:numId w:val="15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загальнолюдські й національні цінності базуються на принципах гуманізму й демократії, передаються з покоління в покоління в усній чи письмовій формі;</w:t>
      </w:r>
    </w:p>
    <w:p w:rsidR="00CE3626" w:rsidRPr="00CE3626" w:rsidRDefault="00CE3626" w:rsidP="00CE3626">
      <w:pPr>
        <w:numPr>
          <w:ilvl w:val="0"/>
          <w:numId w:val="15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людина - найбільша цінність цивілізованого суспільства;</w:t>
      </w:r>
    </w:p>
    <w:p w:rsidR="00CE3626" w:rsidRPr="00CE3626" w:rsidRDefault="00CE3626" w:rsidP="00CE3626">
      <w:pPr>
        <w:numPr>
          <w:ilvl w:val="0"/>
          <w:numId w:val="15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література народу – його ідентифікатор, який сприяє індивідуальному та національному самоусвідомленню.</w:t>
      </w:r>
    </w:p>
    <w:p w:rsid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</w:p>
    <w:p w:rsidR="00CE3626" w:rsidRPr="00CE3626" w:rsidRDefault="00CE3626" w:rsidP="00CE3626">
      <w:pPr>
        <w:numPr>
          <w:ilvl w:val="1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Навчання для формування світогляду учня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Навчання на уроках української літератури відбувається на базі таких принципів: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кожна окрема людина – це член спільноти;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активна громадянська позиція необхідна для творення успішної, розвиненої країни;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важливий навик сучасної людини – готовність брати на себе відповідальність;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необхідно толерантно та з повагою ставитись до культурних та історичних набутків різних народів, людей різних рас, культур і національностей, до різних поглядів, ідей, вірувань та утвердження;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кожен має право на власну думку, на свобідне та безперешкодне висловлення, мислення та творчість;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розвиток здатності учнів до співчуття;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людська гідність;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усвідомлення важливості правових норм та закону, формування поваги до них;</w:t>
      </w:r>
    </w:p>
    <w:p w:rsidR="00CE3626" w:rsidRPr="00CE3626" w:rsidRDefault="00CE3626" w:rsidP="00CE3626">
      <w:pPr>
        <w:numPr>
          <w:ilvl w:val="0"/>
          <w:numId w:val="16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допомога молодій людині самовизначитись, вибрати правильну життєву позицію на основі гуманістичних цінностей та ідеалів, прагнення до самостійного пошуку, духовного самовдосконалення.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numPr>
          <w:ilvl w:val="1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Використання практичного досвіду в навчальних цілях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 навчальних цілях ефективно використовується практичний досвід, а саме:</w:t>
      </w:r>
    </w:p>
    <w:p w:rsidR="00CE3626" w:rsidRPr="00CE3626" w:rsidRDefault="00CE3626" w:rsidP="00CE3626">
      <w:pPr>
        <w:numPr>
          <w:ilvl w:val="0"/>
          <w:numId w:val="17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приклади з літератури;</w:t>
      </w:r>
    </w:p>
    <w:p w:rsidR="00CE3626" w:rsidRPr="00CE3626" w:rsidRDefault="00CE3626" w:rsidP="00CE3626">
      <w:pPr>
        <w:numPr>
          <w:ilvl w:val="0"/>
          <w:numId w:val="17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глибокий аналіз та інтерпретація художніх творів;</w:t>
      </w:r>
    </w:p>
    <w:p w:rsidR="00CE3626" w:rsidRPr="00CE3626" w:rsidRDefault="00CE3626" w:rsidP="00CE3626">
      <w:pPr>
        <w:numPr>
          <w:ilvl w:val="0"/>
          <w:numId w:val="17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культура спілкування, формування уміння аргументовано і грамотно висловлювати власну думку щодо суспільно-політичних питань, відстоювати свою думку толерантно, але твердо;</w:t>
      </w:r>
    </w:p>
    <w:p w:rsidR="00CE3626" w:rsidRPr="00CE3626" w:rsidRDefault="00CE3626" w:rsidP="00CE3626">
      <w:pPr>
        <w:numPr>
          <w:ilvl w:val="0"/>
          <w:numId w:val="17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тренування відповідальності через виконання доручених завдань, роботу в групі;</w:t>
      </w:r>
    </w:p>
    <w:p w:rsidR="00CE3626" w:rsidRPr="00CE3626" w:rsidRDefault="00CE3626" w:rsidP="00CE3626">
      <w:pPr>
        <w:numPr>
          <w:ilvl w:val="0"/>
          <w:numId w:val="17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навики правильного сприймання та аналізу інформації;</w:t>
      </w:r>
    </w:p>
    <w:p w:rsidR="00CE3626" w:rsidRPr="00CE3626" w:rsidRDefault="00CE3626" w:rsidP="00CE3626">
      <w:pPr>
        <w:numPr>
          <w:ilvl w:val="0"/>
          <w:numId w:val="17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виявлення</w:t>
      </w:r>
      <w:r w:rsidRPr="00CE3626">
        <w:rPr>
          <w:rFonts w:ascii="Times New Roman" w:eastAsiaTheme="minorEastAsia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ru-RU" w:bidi="en-US"/>
        </w:rPr>
        <w:t>ман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іпулятивних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стратегій та тактик, уміння протистояти їм.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</w:p>
    <w:p w:rsid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numPr>
          <w:ilvl w:val="0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Розробка уроку з української літератури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Клас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: 9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Тема: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Тарас Шевченко. Тема жіночої долі у творчості поета (на прикладі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творів«Катерина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», «Наймичка», «У нашім раї на землі…» та ін.). Еволюція жіночого образу в поезіях Шевченка. Типи втілення теми жіночої долі: романтичний («Катерина»), реалі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стично-побутовий («Наймичка»)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. Трагедія жінки-матері, боротьба за своє материнство, жорстокість народної моралі.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ind w:left="708" w:hanging="708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Мета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: </w:t>
      </w:r>
    </w:p>
    <w:p w:rsidR="00CE3626" w:rsidRPr="00CE3626" w:rsidRDefault="00CE3626" w:rsidP="00CE3626">
      <w:pPr>
        <w:numPr>
          <w:ilvl w:val="0"/>
          <w:numId w:val="18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домогтися усвідомлення учнями змісту поем, у яких порушено проблему покритки і материнства; </w:t>
      </w:r>
    </w:p>
    <w:p w:rsidR="00CE3626" w:rsidRPr="00CE3626" w:rsidRDefault="00CE3626" w:rsidP="00CE3626">
      <w:pPr>
        <w:numPr>
          <w:ilvl w:val="0"/>
          <w:numId w:val="18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розкрити сюжет і образи поеми через соціальний конфлікт; </w:t>
      </w:r>
    </w:p>
    <w:p w:rsidR="00CE3626" w:rsidRPr="00CE3626" w:rsidRDefault="00CE3626" w:rsidP="00CE3626">
      <w:pPr>
        <w:numPr>
          <w:ilvl w:val="0"/>
          <w:numId w:val="18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показати трагізм долі покритки у 19 ст., жертовну любов жінки – матері до своєї дитини; </w:t>
      </w:r>
    </w:p>
    <w:p w:rsidR="00CE3626" w:rsidRPr="00CE3626" w:rsidRDefault="00CE3626" w:rsidP="00CE3626">
      <w:pPr>
        <w:numPr>
          <w:ilvl w:val="0"/>
          <w:numId w:val="18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формувати ключові компетентності: комунікативну, інформаційну, соціальну, продуктивної творчої діяльності.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Розвивати культуру зв’язного мовлення, пам'ять, спостережливість, творчі здібності, вміння логічно і критично мислити, грамотно висловлювати власні думки, почуття; робити ґрунтовні й виважені висновки. </w:t>
      </w:r>
      <w:proofErr w:type="spellStart"/>
      <w:proofErr w:type="gram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Виховувати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доброту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милосердя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співчуття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до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знедолених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почуття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відповідальності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за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свої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t>вчинки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  <w:proofErr w:type="gramEnd"/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Тип уроку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: урок засвоєння нових знань, урок-обговорення.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Обладнання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: збірка «Кобзар», тексти поем, ІКТ, заготовлені картки, шість капелюхів.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Методи, прийоми, форми роботи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: індивідуальна робота, бесіда, виразне читання, «дискусійна трибуна», групова робота.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Очікувані результати: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учень розуміє соціальні аспекти переконань, порівнює різні типи втілення теми жіночої долі, висловлює судження про материнство.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Випереджальне завдання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: ознайомитися зі змістом поем Тараса Шевченка.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ХІД УРОКУ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І. Організаційний момент.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bCs/>
          <w:sz w:val="28"/>
          <w:szCs w:val="28"/>
          <w:lang w:val="en-US" w:bidi="en-US"/>
        </w:rPr>
        <w:t>II</w:t>
      </w:r>
      <w:r w:rsidRPr="00CE3626">
        <w:rPr>
          <w:rFonts w:ascii="Times New Roman" w:eastAsiaTheme="minorEastAsia" w:hAnsi="Times New Roman" w:cs="Times New Roman"/>
          <w:b/>
          <w:bCs/>
          <w:sz w:val="28"/>
          <w:szCs w:val="28"/>
          <w:lang w:bidi="en-US"/>
        </w:rPr>
        <w:t>. Мотивація навчальної діяльності.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  <w:t>Вправа «Це незабаром застаріє…»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Інструкція: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1. Вчитель пояснює учням, що завдання стосуватиметься того, як із часом змінюються наші переконання та уявлення.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2. Вчитель проводить бліц-мозковий штурм «Що таке переконання та уявлення?» (Переконання –1.Тверда впевненість, певність у чому-небудь; віра у щось. 2. Тверда, міцно усталена думка про що-небудь, погляд на щось. 3. Система, сукупність поглядів; світогляд. Уявлення – 1. Розуміння чого-небудь, знання чого-небудь, яке ґрунтується на досвіді, одержаних відомостях, якихось даних і т. ін.). Можна прикріпити до дошки аркуші з визначеннями понять «переконання» та «уявлення».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3. Об’єднуємо учнів у групи по 4-6 осіб. Можна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погрупувати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підлітків традиційно, по списку </w:t>
      </w:r>
      <w:r>
        <w:rPr>
          <w:rFonts w:ascii="Times New Roman" w:eastAsiaTheme="minorEastAsia" w:hAnsi="Times New Roman" w:cs="Times New Roman"/>
          <w:sz w:val="28"/>
          <w:szCs w:val="28"/>
          <w:lang w:val="ru-RU" w:bidi="en-US"/>
        </w:rPr>
        <w:t>в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журналі. Рекомендуємо використати спосіб групування за певними ознаками (колір волосся, колір очей, взуття, одяг, ім’я, пора народження). Наприклад, запропонуйте об’єднатись у групу учням, які народились у літні місяці. Інша група – ті, хто народився восени і так далі.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4. Кожна команда обирає учня, який записує резюме їхньої роботи на великому аркуші паперу та потім представлятиме перед аудиторією.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5. Кожна група отримує шляхом жеребкування картку про переконання або уявлення, які втратили силу з часів ХІХ століття порівняно з сучасністю.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6. Дівчата та хлопці у групах ознайомлюються з карткою та обговорюють зазначене у ній переконання або уявлення. Звідки воно пішло? Яким чином воно стало розповсюдженим? Наскільки воно виправдане з позиції сьогодення?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7. Представники кожної команди повідомляють про свої висновки.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val="ru-RU" w:bidi="en-US"/>
        </w:rPr>
      </w:pPr>
      <w:r w:rsidRPr="00CE3626"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  <w:lastRenderedPageBreak/>
        <w:t>Додаток д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bidi="en-US"/>
        </w:rPr>
        <w:t>о вправи «Картки з переконанням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val="ru-RU" w:bidi="en-US"/>
        </w:rPr>
        <w:t>и»</w:t>
      </w:r>
    </w:p>
    <w:tbl>
      <w:tblPr>
        <w:tblStyle w:val="ab"/>
        <w:tblW w:w="9975" w:type="dxa"/>
        <w:tblLook w:val="04A0"/>
      </w:tblPr>
      <w:tblGrid>
        <w:gridCol w:w="3325"/>
        <w:gridCol w:w="3325"/>
        <w:gridCol w:w="3325"/>
      </w:tblGrid>
      <w:tr w:rsidR="00CE3626" w:rsidRPr="00CE3626" w:rsidTr="00CA0B9E">
        <w:trPr>
          <w:trHeight w:val="1359"/>
        </w:trPr>
        <w:tc>
          <w:tcPr>
            <w:tcW w:w="3325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Уявлення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роль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чоловіків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та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жінок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сім’ї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25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Переконання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тому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що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батьки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мають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обирати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пару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своїх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дітей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25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Уявлення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виховання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</w:t>
            </w:r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дисципліну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дітей</w:t>
            </w:r>
            <w:proofErr w:type="spellEnd"/>
          </w:p>
        </w:tc>
      </w:tr>
      <w:tr w:rsidR="00CE3626" w:rsidRPr="00CE3626" w:rsidTr="00CA0B9E">
        <w:trPr>
          <w:trHeight w:val="1423"/>
        </w:trPr>
        <w:tc>
          <w:tcPr>
            <w:tcW w:w="3325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Переконання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щодо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народження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дітей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поза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шлюбом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25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Переконання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стосунки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поза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шлюбом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25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Переконання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proofErr w:type="spellEnd"/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розлучення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неповні</w:t>
            </w:r>
            <w:proofErr w:type="spellEnd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i/>
                <w:sz w:val="28"/>
                <w:szCs w:val="28"/>
              </w:rPr>
              <w:t>сім’ї</w:t>
            </w:r>
            <w:proofErr w:type="spellEnd"/>
          </w:p>
        </w:tc>
      </w:tr>
    </w:tbl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ІІІ. Обговорення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Починаємо з короткого огляду вправи в цілому, а потім наголошуємо на тому, що переконання та уявлення постійно змінюються. Питання для обговорення:</w:t>
      </w:r>
    </w:p>
    <w:p w:rsidR="00CE3626" w:rsidRPr="00CE3626" w:rsidRDefault="00CE3626" w:rsidP="00CE3626">
      <w:pPr>
        <w:numPr>
          <w:ilvl w:val="0"/>
          <w:numId w:val="19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Звідки беруться наші переконання та уявлення?</w:t>
      </w:r>
    </w:p>
    <w:p w:rsidR="00CE3626" w:rsidRPr="00CE3626" w:rsidRDefault="00CE3626" w:rsidP="00CE3626">
      <w:pPr>
        <w:numPr>
          <w:ilvl w:val="0"/>
          <w:numId w:val="19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Які переваги переконань та уявлень для людини?</w:t>
      </w:r>
    </w:p>
    <w:p w:rsidR="00CE3626" w:rsidRPr="00CE3626" w:rsidRDefault="00CE3626" w:rsidP="00CE3626">
      <w:pPr>
        <w:numPr>
          <w:ilvl w:val="0"/>
          <w:numId w:val="19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Яким чином наші переконання обмежують нас?</w:t>
      </w:r>
    </w:p>
    <w:p w:rsidR="00CE3626" w:rsidRPr="00CE3626" w:rsidRDefault="00CE3626" w:rsidP="00CE3626">
      <w:pPr>
        <w:numPr>
          <w:ilvl w:val="0"/>
          <w:numId w:val="19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Чому переконання та уявлення змінюються?</w:t>
      </w:r>
    </w:p>
    <w:p w:rsidR="00CE3626" w:rsidRPr="00CE3626" w:rsidRDefault="00CE3626" w:rsidP="00CE3626">
      <w:pPr>
        <w:numPr>
          <w:ilvl w:val="0"/>
          <w:numId w:val="19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Наскільки складно/легко змінювати переконання? 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t>IV.</w:t>
      </w: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Висновки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Метод шести капелюхів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Вчитель ділить клас на 6 груп, кожній дає капелюх певного кольору. Колір капелюха метафорично демонструє, у якій площині мислити: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tbl>
      <w:tblPr>
        <w:tblStyle w:val="ab"/>
        <w:tblW w:w="0" w:type="auto"/>
        <w:tblLook w:val="04A0"/>
      </w:tblPr>
      <w:tblGrid>
        <w:gridCol w:w="3227"/>
        <w:gridCol w:w="6628"/>
      </w:tblGrid>
      <w:tr w:rsidR="00CE3626" w:rsidRPr="00CE3626" w:rsidTr="00CA0B9E">
        <w:tc>
          <w:tcPr>
            <w:tcW w:w="3227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62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113030</wp:posOffset>
                  </wp:positionV>
                  <wp:extent cx="1851660" cy="1148080"/>
                  <wp:effectExtent l="19050" t="0" r="0" b="0"/>
                  <wp:wrapSquare wrapText="bothSides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Білий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капелюх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чистий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потрібно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відповісти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proofErr w:type="gram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Яка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потрібна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?»; «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вистачає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?»; «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одержати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відсутню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?»; «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задати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</w:tr>
      <w:tr w:rsidR="00CE3626" w:rsidRPr="00CE3626" w:rsidTr="00CA0B9E">
        <w:tc>
          <w:tcPr>
            <w:tcW w:w="3227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62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123190</wp:posOffset>
                  </wp:positionV>
                  <wp:extent cx="1873250" cy="946150"/>
                  <wp:effectExtent l="19050" t="0" r="0" b="0"/>
                  <wp:wrapSquare wrapText="bothSides"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8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Жовтий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капелюх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оптимістичний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відповідають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переваги</w:t>
            </w:r>
            <w:proofErr w:type="spellEnd"/>
            <w:proofErr w:type="gram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вигідно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?»; «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?».</w:t>
            </w:r>
          </w:p>
        </w:tc>
      </w:tr>
      <w:tr w:rsidR="00CE3626" w:rsidRPr="00CE3626" w:rsidTr="00CA0B9E">
        <w:tc>
          <w:tcPr>
            <w:tcW w:w="3227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362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692792" cy="1172368"/>
                  <wp:effectExtent l="19050" t="0" r="2658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957" cy="1178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Синій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капелюх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аналітичний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процесом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підбиття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користі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методу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конкретних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626" w:rsidRPr="00CE3626" w:rsidTr="00CA0B9E">
        <w:tc>
          <w:tcPr>
            <w:tcW w:w="3227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62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860373" cy="1279405"/>
                  <wp:effectExtent l="19050" t="0" r="6527" b="0"/>
                  <wp:docPr id="1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819" cy="128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капелюх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емоційний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емоцій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відчуттів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інтуїції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вдаючись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подробиці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міркування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висловлюються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всі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інтуїтивні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здогадки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626" w:rsidRPr="00CE3626" w:rsidTr="00CA0B9E">
        <w:tc>
          <w:tcPr>
            <w:tcW w:w="3227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62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777853" cy="1285392"/>
                  <wp:effectExtent l="19050" t="0" r="0" b="0"/>
                  <wp:docPr id="1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26" cy="128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капелюх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критичний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Одягаючи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цей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капелюх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оцінюють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ситуацію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зору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наявності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недоліків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ризиків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загроз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3626" w:rsidRPr="00CE3626" w:rsidTr="00CA0B9E">
        <w:tc>
          <w:tcPr>
            <w:tcW w:w="3227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626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735322" cy="1265274"/>
                  <wp:effectExtent l="19050" t="0" r="0" b="0"/>
                  <wp:docPr id="14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664" cy="1265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CE3626" w:rsidRPr="00CE3626" w:rsidRDefault="00CE3626" w:rsidP="00CE3626">
            <w:pPr>
              <w:tabs>
                <w:tab w:val="left" w:pos="28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Зелений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капелюх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креативний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Пошук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альтернатив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генерація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ідей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модифікація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вже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наявних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напрацювань</w:t>
            </w:r>
            <w:proofErr w:type="spellEnd"/>
            <w:r w:rsidRPr="00CE3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bidi="en-US"/>
        </w:rPr>
      </w:pP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val="en-US" w:bidi="en-US"/>
        </w:rPr>
        <w:lastRenderedPageBreak/>
        <w:t>V.</w:t>
      </w: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Домашнє завдання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Написати повідомлення на тему «Які переконання характерні для сьогодення та як вони впливають на моє життя та життя моєї сім’ї?»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numPr>
          <w:ilvl w:val="0"/>
          <w:numId w:val="9"/>
        </w:numPr>
        <w:tabs>
          <w:tab w:val="left" w:pos="2835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Дослідницький </w:t>
      </w:r>
      <w:proofErr w:type="spellStart"/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проєкт</w:t>
      </w:r>
      <w:proofErr w:type="spellEnd"/>
    </w:p>
    <w:p w:rsidR="00CE3626" w:rsidRPr="00CE3626" w:rsidRDefault="00CE3626" w:rsidP="0057325E">
      <w:pPr>
        <w:tabs>
          <w:tab w:val="left" w:pos="2835"/>
        </w:tabs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Досліджуємо таємниці письменницьких шухляд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І. Мета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: формувати суспільно активного громадянина через залучення молоді до пош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уково-дослідницької діяльності </w:t>
      </w:r>
      <w:r>
        <w:rPr>
          <w:rFonts w:ascii="Times New Roman" w:eastAsiaTheme="minorEastAsia" w:hAnsi="Times New Roman" w:cs="Times New Roman"/>
          <w:sz w:val="28"/>
          <w:szCs w:val="28"/>
          <w:lang w:val="ru-RU" w:bidi="en-US"/>
        </w:rPr>
        <w:t>в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літературному клубі. 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ІІ. Завдання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: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спонукати дітей до пошуку;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формувати дослідницькі компетентності;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розвивати інтерес до історії української літератури;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створити середовище для розвитку літературних спроб;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формувати національно-патріотичну свідомість;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розвивати критичне мислення.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ІІІ. Передумови створення клубу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Перша спроба, апробована в діяльність літературного кафе, але це не забезпечило систематичності.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В останні роки засилля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медіа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простору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використання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гаджетів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дезінформує молодь, яка не завжди здатна «відділити зерно від полови», просіяти інформацію правди. Тому створення такого літературного клубу є прекрасною можливістю для аналізу інформації, пошукової діяльності, можливості і культури диспуту, формування власної думки та демократичного мислення, розвитку громадянської думки та громадянських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, творчості та креативності, вміння виділити правду, протистояти маніпуляціям.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 xml:space="preserve">Розв’язання таких завдань є співзвучне з новою демократичною школою? Такий підхід є важливим для формування особистості, відповідає завданням НУШ. 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IV Хто долучений до клубу?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Цільова група 1: команда вчителів.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Цільова група 2: учні, які залучені шляхом мотиваційних бесід, цікавих фактів, створенням цікавої атмосфери (9-10 клас). </w:t>
      </w: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V </w:t>
      </w:r>
      <w:proofErr w:type="spellStart"/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Обгрунтування</w:t>
      </w:r>
      <w:proofErr w:type="spellEnd"/>
    </w:p>
    <w:p w:rsidR="00CE3626" w:rsidRPr="00CE3626" w:rsidRDefault="00CE3626" w:rsidP="00CE3626">
      <w:pPr>
        <w:numPr>
          <w:ilvl w:val="0"/>
          <w:numId w:val="11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Приміщення – зручне, з круглим столом, шафою з багатьма шухлядами, креденс с виставкою літератури.</w:t>
      </w:r>
    </w:p>
    <w:p w:rsidR="00CE3626" w:rsidRPr="00CE3626" w:rsidRDefault="00CE3626" w:rsidP="00CE3626">
      <w:pPr>
        <w:numPr>
          <w:ilvl w:val="0"/>
          <w:numId w:val="11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Засідання клубу проводиться не менше 2-х разів в місяць.</w:t>
      </w:r>
    </w:p>
    <w:p w:rsidR="00CE3626" w:rsidRPr="00CE3626" w:rsidRDefault="00CE3626" w:rsidP="00CE3626">
      <w:pPr>
        <w:numPr>
          <w:ilvl w:val="0"/>
          <w:numId w:val="11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Учні залучаються на добровільних засадах.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348446" cy="4278646"/>
            <wp:effectExtent l="19050" t="0" r="4604" b="0"/>
            <wp:docPr id="19" name="Рисунок 18" descr="зображення_viber_2019-12-09_22-19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_viber_2019-12-09_22-19-5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140" cy="427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</w:p>
    <w:p w:rsidR="00CE3626" w:rsidRPr="00CE3626" w:rsidRDefault="00CE3626" w:rsidP="0057325E">
      <w:pPr>
        <w:tabs>
          <w:tab w:val="left" w:pos="2835"/>
        </w:tabs>
        <w:spacing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VІ Організація роботи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Кожного понеділка в шухляду з надписом «Таємниці» потрапляють «цидулі» (3-4) із запитаннями. Учасники клубу розбирають «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цидульки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» (записочки) і в командах проводять дослідження (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інтернет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бібліотека, консультації з вчителями). На засіданні клубу «розкриваємо таємниці», обговорюємо, дискутуємо і при появі нової інформації дослідження продовжуємо.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Учні школи за підсумками радіоефіру ставлять «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цидульки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» зі св</w:t>
      </w:r>
      <w:r w:rsidR="003952C3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оїми запитаннями </w:t>
      </w:r>
      <w:r w:rsidR="003952C3">
        <w:rPr>
          <w:rFonts w:ascii="Times New Roman" w:eastAsiaTheme="minorEastAsia" w:hAnsi="Times New Roman" w:cs="Times New Roman"/>
          <w:sz w:val="28"/>
          <w:szCs w:val="28"/>
          <w:lang w:val="ru-RU" w:bidi="en-US"/>
        </w:rPr>
        <w:t>в</w:t>
      </w: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шухляду креденсу з надписом «Мої запитання». Ці учні, які задали питання, запрошуються на засідання клубу і також їх активність може оцінюватись вчителями із занесенням  балів на сторінку журналу «Українська література». За роботу в клубі учні отримують оцінки.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Розкрита таємниця повідомляється через радіомовлення (понеділок) як нова цікава інформація та цікава дослідницька робота.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Засідання літературного клубу проводяться у форматі: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Круглого столу;</w:t>
      </w:r>
    </w:p>
    <w:p w:rsidR="00CE3626" w:rsidRPr="00CE3626" w:rsidRDefault="003952C3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Відео</w:t>
      </w:r>
      <w:r w:rsidR="00CE3626"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подорожі</w:t>
      </w:r>
      <w:proofErr w:type="spellEnd"/>
      <w:r w:rsidR="00CE3626"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Навчальної екскурсії;</w:t>
      </w:r>
    </w:p>
    <w:p w:rsidR="00CE3626" w:rsidRPr="00CE3626" w:rsidRDefault="00CE3626" w:rsidP="00CE3626">
      <w:pPr>
        <w:numPr>
          <w:ilvl w:val="0"/>
          <w:numId w:val="1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Літературне кафе «Що? Де? Чому?</w:t>
      </w:r>
    </w:p>
    <w:p w:rsidR="00CE3626" w:rsidRPr="00CE3626" w:rsidRDefault="00CE3626" w:rsidP="00CE3626">
      <w:pPr>
        <w:numPr>
          <w:ilvl w:val="0"/>
          <w:numId w:val="12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Відеопрезентації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Підсумки проводяться у формі «Літературного фестивалю» або «Літературного турне». На фестивалі виставляються світлини, які висвітлюють процес дослідницької діяльності, стенд с темами радіоефірів, проводиться літературна лотерея, нагородження за номінаціями: «найцікавіший», «найоригінальніший», «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найкреативніший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» та ін.. 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Результати діяльності клубу:</w:t>
      </w:r>
    </w:p>
    <w:p w:rsidR="00CE3626" w:rsidRPr="00CE3626" w:rsidRDefault="00CE3626" w:rsidP="00CE3626">
      <w:pPr>
        <w:numPr>
          <w:ilvl w:val="0"/>
          <w:numId w:val="12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формування суспільної активності через залучення молоді до пошуково-дослідницької діяльності у літературному клубі;</w:t>
      </w:r>
    </w:p>
    <w:p w:rsidR="00CE3626" w:rsidRPr="00CE3626" w:rsidRDefault="00CE3626" w:rsidP="00CE3626">
      <w:pPr>
        <w:numPr>
          <w:ilvl w:val="0"/>
          <w:numId w:val="12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відволікання учнів від моніторів та прищеплення їм інтересу до дослідницької діяльності;</w:t>
      </w:r>
    </w:p>
    <w:p w:rsidR="00CE3626" w:rsidRPr="00CE3626" w:rsidRDefault="00CE3626" w:rsidP="00CE3626">
      <w:pPr>
        <w:numPr>
          <w:ilvl w:val="0"/>
          <w:numId w:val="12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формування громадських та життєвих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</w:p>
    <w:p w:rsidR="00CE3626" w:rsidRPr="00CE3626" w:rsidRDefault="00CE3626" w:rsidP="00CE3626">
      <w:pPr>
        <w:numPr>
          <w:ilvl w:val="0"/>
          <w:numId w:val="12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об’єднання учнів за інтересами.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До висвітлення подій клубу «Таємниці письменницьких шухляд» залучаються учасники журналістської студії TV LAB.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57325E">
      <w:pPr>
        <w:tabs>
          <w:tab w:val="left" w:pos="2835"/>
        </w:tabs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Висновок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Концепція реформування української школи закладає докорінно нові підходи до освітнього процесу, пропонуючи переорієнтувати увагу на формування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учнів, відійшовши від традиційних методик простого передавання знань. Цей імпульс нового мислення ми отримали на тренінгах та заняттях, проведених в рамках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проєкту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«Демократична школа». Отримані навички та знання ми втілюємо та реалізуємо на практиці, зокрема на уроках української літератури.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bidi="en-US"/>
        </w:rPr>
      </w:pPr>
    </w:p>
    <w:p w:rsidR="00CE3626" w:rsidRPr="00CE3626" w:rsidRDefault="00CE3626" w:rsidP="0057325E">
      <w:pPr>
        <w:tabs>
          <w:tab w:val="left" w:pos="2835"/>
        </w:tabs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Список використаної літератури: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:rsidR="00CE3626" w:rsidRPr="00CE3626" w:rsidRDefault="00CE3626" w:rsidP="00CE3626">
      <w:pPr>
        <w:numPr>
          <w:ilvl w:val="0"/>
          <w:numId w:val="2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Громадянська відповідальність: 80 вправ для формування громадянської та соціальної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компетентностей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під час вивчення різних шкільних предметів. 5-9 клас. Посібник для вчителя /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Рафальська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М., Боярчук О., Герасим Н. та ін. – Київ, 2017. – 136 с.</w:t>
      </w:r>
    </w:p>
    <w:p w:rsidR="00CE3626" w:rsidRPr="00CE3626" w:rsidRDefault="00CE3626" w:rsidP="00CE3626">
      <w:pPr>
        <w:numPr>
          <w:ilvl w:val="0"/>
          <w:numId w:val="2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Практичний посібник «Демократична школа» за ред. О.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Шинаровської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- Європейський центр імені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Вергеланда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, 2017. – 38С.</w:t>
      </w:r>
    </w:p>
    <w:p w:rsidR="00CE3626" w:rsidRPr="00CE3626" w:rsidRDefault="00CE3626" w:rsidP="00CE3626">
      <w:pPr>
        <w:numPr>
          <w:ilvl w:val="0"/>
          <w:numId w:val="20"/>
        </w:numPr>
        <w:tabs>
          <w:tab w:val="left" w:pos="2835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«КОМПАС» Посібник з освіти в галузі прав людини за участі молоді. Редакція 2012 року — повністю переглянута та доповнена / за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заг.ред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Руї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>Гомеса</w:t>
      </w:r>
      <w:proofErr w:type="spellEnd"/>
      <w:r w:rsidRPr="00CE362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- Видавництво Ради Європи. – 2012. – 624 С.  </w:t>
      </w:r>
    </w:p>
    <w:p w:rsidR="00CE3626" w:rsidRPr="00CE3626" w:rsidRDefault="00CE3626" w:rsidP="00CE3626">
      <w:pPr>
        <w:tabs>
          <w:tab w:val="left" w:pos="2835"/>
        </w:tabs>
        <w:spacing w:line="36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CE3626" w:rsidRPr="00CE3626" w:rsidRDefault="00CE3626" w:rsidP="00CE3626">
      <w:pPr>
        <w:tabs>
          <w:tab w:val="left" w:pos="2835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313868" w:rsidRDefault="00313868">
      <w:pPr>
        <w:rPr>
          <w:lang w:val="ru-RU"/>
        </w:rPr>
      </w:pPr>
    </w:p>
    <w:p w:rsidR="00313868" w:rsidRDefault="00313868">
      <w:pPr>
        <w:rPr>
          <w:lang w:val="ru-RU"/>
        </w:rPr>
      </w:pPr>
    </w:p>
    <w:p w:rsidR="00313868" w:rsidRDefault="00313868">
      <w:pPr>
        <w:rPr>
          <w:lang w:val="ru-RU"/>
        </w:rPr>
      </w:pPr>
    </w:p>
    <w:p w:rsidR="00313868" w:rsidRDefault="00313868">
      <w:pPr>
        <w:rPr>
          <w:lang w:val="ru-RU"/>
        </w:rPr>
      </w:pPr>
    </w:p>
    <w:p w:rsidR="00313868" w:rsidRDefault="00313868">
      <w:pPr>
        <w:rPr>
          <w:lang w:val="ru-RU"/>
        </w:rPr>
      </w:pPr>
    </w:p>
    <w:p w:rsidR="00313868" w:rsidRDefault="00313868">
      <w:pPr>
        <w:rPr>
          <w:lang w:val="ru-RU"/>
        </w:rPr>
      </w:pPr>
    </w:p>
    <w:p w:rsidR="00313868" w:rsidRDefault="00313868">
      <w:pPr>
        <w:rPr>
          <w:lang w:val="ru-RU"/>
        </w:rPr>
      </w:pPr>
    </w:p>
    <w:p w:rsidR="00313868" w:rsidRDefault="00313868">
      <w:pPr>
        <w:rPr>
          <w:lang w:val="ru-RU"/>
        </w:rPr>
      </w:pPr>
    </w:p>
    <w:p w:rsidR="00313868" w:rsidRPr="00313868" w:rsidRDefault="00313868">
      <w:pPr>
        <w:rPr>
          <w:lang w:val="ru-RU"/>
        </w:rPr>
      </w:pPr>
    </w:p>
    <w:sectPr w:rsidR="00313868" w:rsidRPr="00313868" w:rsidSect="00CE3626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60" w:rsidRDefault="00A22460" w:rsidP="00CE3626">
      <w:pPr>
        <w:spacing w:after="0" w:line="240" w:lineRule="auto"/>
      </w:pPr>
      <w:r>
        <w:separator/>
      </w:r>
    </w:p>
  </w:endnote>
  <w:endnote w:type="continuationSeparator" w:id="0">
    <w:p w:rsidR="00A22460" w:rsidRDefault="00A22460" w:rsidP="00CE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60" w:rsidRDefault="00A22460" w:rsidP="00CE3626">
      <w:pPr>
        <w:spacing w:after="0" w:line="240" w:lineRule="auto"/>
      </w:pPr>
      <w:r>
        <w:separator/>
      </w:r>
    </w:p>
  </w:footnote>
  <w:footnote w:type="continuationSeparator" w:id="0">
    <w:p w:rsidR="00A22460" w:rsidRDefault="00A22460" w:rsidP="00CE3626">
      <w:pPr>
        <w:spacing w:after="0" w:line="240" w:lineRule="auto"/>
      </w:pPr>
      <w:r>
        <w:continuationSeparator/>
      </w:r>
    </w:p>
  </w:footnote>
  <w:footnote w:id="1">
    <w:p w:rsidR="00CE3626" w:rsidRDefault="00CE3626" w:rsidP="00CE3626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Pr="00777B9D">
        <w:t>Концепція</w:t>
      </w:r>
      <w:proofErr w:type="spellEnd"/>
      <w:r w:rsidRPr="00777B9D">
        <w:t xml:space="preserve"> «</w:t>
      </w:r>
      <w:proofErr w:type="spellStart"/>
      <w:r w:rsidRPr="00777B9D">
        <w:t>Нова</w:t>
      </w:r>
      <w:proofErr w:type="spellEnd"/>
      <w:r w:rsidRPr="00777B9D">
        <w:t xml:space="preserve"> </w:t>
      </w:r>
      <w:proofErr w:type="spellStart"/>
      <w:r w:rsidRPr="00777B9D">
        <w:t>українська</w:t>
      </w:r>
      <w:proofErr w:type="spellEnd"/>
      <w:r w:rsidRPr="00777B9D">
        <w:t xml:space="preserve"> </w:t>
      </w:r>
      <w:proofErr w:type="spellStart"/>
      <w:r w:rsidRPr="00777B9D">
        <w:t>школа</w:t>
      </w:r>
      <w:proofErr w:type="spellEnd"/>
      <w:r w:rsidRPr="00777B9D">
        <w:t>», 2016</w:t>
      </w:r>
    </w:p>
  </w:footnote>
  <w:footnote w:id="2">
    <w:p w:rsidR="00CE3626" w:rsidRDefault="00CE3626" w:rsidP="00CE3626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proofErr w:type="gramStart"/>
      <w:r>
        <w:t>Стратегія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ім</w:t>
      </w:r>
      <w:proofErr w:type="spellEnd"/>
      <w:r>
        <w:t>.</w:t>
      </w:r>
      <w:proofErr w:type="gramEnd"/>
      <w:r>
        <w:t xml:space="preserve"> </w:t>
      </w:r>
      <w:proofErr w:type="spellStart"/>
      <w:r>
        <w:t>Вергеланда</w:t>
      </w:r>
      <w:proofErr w:type="spellEnd"/>
      <w:r>
        <w:t>, 2016</w:t>
      </w:r>
    </w:p>
  </w:footnote>
  <w:footnote w:id="3">
    <w:p w:rsidR="00CE3626" w:rsidRDefault="00CE3626" w:rsidP="00CE3626">
      <w:pPr>
        <w:pStyle w:val="a8"/>
      </w:pPr>
      <w:r>
        <w:rPr>
          <w:rStyle w:val="aa"/>
        </w:rPr>
        <w:footnoteRef/>
      </w:r>
      <w:r>
        <w:t xml:space="preserve"> ДЕМОКРАТИЧНА ШКОЛА </w:t>
      </w:r>
      <w:proofErr w:type="spellStart"/>
      <w:r>
        <w:t>практичний</w:t>
      </w:r>
      <w:proofErr w:type="spellEnd"/>
      <w:r>
        <w:t xml:space="preserve"> </w:t>
      </w:r>
      <w:proofErr w:type="spellStart"/>
      <w:r>
        <w:t>посібник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52"/>
    <w:multiLevelType w:val="hybridMultilevel"/>
    <w:tmpl w:val="850211F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445"/>
    <w:multiLevelType w:val="hybridMultilevel"/>
    <w:tmpl w:val="8C96E8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4DD"/>
    <w:multiLevelType w:val="hybridMultilevel"/>
    <w:tmpl w:val="A3A6A3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03D9"/>
    <w:multiLevelType w:val="multilevel"/>
    <w:tmpl w:val="4AC0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FC23F5"/>
    <w:multiLevelType w:val="hybridMultilevel"/>
    <w:tmpl w:val="462ED5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D4B9C"/>
    <w:multiLevelType w:val="hybridMultilevel"/>
    <w:tmpl w:val="336E60EC"/>
    <w:lvl w:ilvl="0" w:tplc="71EA7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46DC8"/>
    <w:multiLevelType w:val="hybridMultilevel"/>
    <w:tmpl w:val="B0507A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04B5"/>
    <w:multiLevelType w:val="hybridMultilevel"/>
    <w:tmpl w:val="7FD20F34"/>
    <w:lvl w:ilvl="0" w:tplc="71EA7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4D9F"/>
    <w:multiLevelType w:val="hybridMultilevel"/>
    <w:tmpl w:val="2B8CFD0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12711"/>
    <w:multiLevelType w:val="hybridMultilevel"/>
    <w:tmpl w:val="FEE2AF7A"/>
    <w:lvl w:ilvl="0" w:tplc="800A91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412D4"/>
    <w:multiLevelType w:val="hybridMultilevel"/>
    <w:tmpl w:val="8B54A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21B70"/>
    <w:multiLevelType w:val="hybridMultilevel"/>
    <w:tmpl w:val="8AC4FD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04E95"/>
    <w:multiLevelType w:val="multilevel"/>
    <w:tmpl w:val="87184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7243F9C"/>
    <w:multiLevelType w:val="hybridMultilevel"/>
    <w:tmpl w:val="08F269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9005E"/>
    <w:multiLevelType w:val="hybridMultilevel"/>
    <w:tmpl w:val="666CC376"/>
    <w:lvl w:ilvl="0" w:tplc="800A91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85BCA"/>
    <w:multiLevelType w:val="hybridMultilevel"/>
    <w:tmpl w:val="5156BC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A764C"/>
    <w:multiLevelType w:val="hybridMultilevel"/>
    <w:tmpl w:val="40E85888"/>
    <w:lvl w:ilvl="0" w:tplc="800A91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309F1"/>
    <w:multiLevelType w:val="hybridMultilevel"/>
    <w:tmpl w:val="2868788C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E94087"/>
    <w:multiLevelType w:val="hybridMultilevel"/>
    <w:tmpl w:val="88803288"/>
    <w:lvl w:ilvl="0" w:tplc="800A91D6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7E541EC7"/>
    <w:multiLevelType w:val="hybridMultilevel"/>
    <w:tmpl w:val="17A2E24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6"/>
  </w:num>
  <w:num w:numId="5">
    <w:abstractNumId w:val="18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2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103"/>
    <w:rsid w:val="00094FA5"/>
    <w:rsid w:val="00126D50"/>
    <w:rsid w:val="001511BA"/>
    <w:rsid w:val="001963AD"/>
    <w:rsid w:val="001A00B3"/>
    <w:rsid w:val="00313868"/>
    <w:rsid w:val="003309CF"/>
    <w:rsid w:val="003952C3"/>
    <w:rsid w:val="00424103"/>
    <w:rsid w:val="0057325E"/>
    <w:rsid w:val="007366E6"/>
    <w:rsid w:val="007764A3"/>
    <w:rsid w:val="00856823"/>
    <w:rsid w:val="00875E48"/>
    <w:rsid w:val="008D7F20"/>
    <w:rsid w:val="009C75F6"/>
    <w:rsid w:val="00A22460"/>
    <w:rsid w:val="00CE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none [1943]" strokecolor="none [2407]">
      <v:fill color="none [1943]" color2="none [663]" angle="-45" focusposition="1" focussize="" focus="-50%" type="gradient"/>
      <v:stroke color="none [2407]" weight="1.5pt"/>
      <v:shadow on="t" type="perspective" color="none [1607]" opacity=".5" offset="1pt" offset2="-3pt"/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511B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3626"/>
    <w:pPr>
      <w:spacing w:after="0" w:line="240" w:lineRule="auto"/>
    </w:pPr>
    <w:rPr>
      <w:rFonts w:eastAsiaTheme="minorEastAsia"/>
    </w:rPr>
  </w:style>
  <w:style w:type="character" w:customStyle="1" w:styleId="a7">
    <w:name w:val="Без інтервалів Знак"/>
    <w:basedOn w:val="a0"/>
    <w:link w:val="a6"/>
    <w:uiPriority w:val="1"/>
    <w:rsid w:val="00CE3626"/>
    <w:rPr>
      <w:rFonts w:eastAsiaTheme="minorEastAsia"/>
    </w:rPr>
  </w:style>
  <w:style w:type="paragraph" w:styleId="a8">
    <w:name w:val="footnote text"/>
    <w:basedOn w:val="a"/>
    <w:link w:val="a9"/>
    <w:uiPriority w:val="99"/>
    <w:semiHidden/>
    <w:unhideWhenUsed/>
    <w:rsid w:val="00CE3626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9">
    <w:name w:val="Текст виноски Знак"/>
    <w:basedOn w:val="a0"/>
    <w:link w:val="a8"/>
    <w:uiPriority w:val="99"/>
    <w:semiHidden/>
    <w:rsid w:val="00CE3626"/>
    <w:rPr>
      <w:rFonts w:eastAsiaTheme="minorEastAsia"/>
      <w:sz w:val="20"/>
      <w:szCs w:val="20"/>
      <w:lang w:val="en-US" w:bidi="en-US"/>
    </w:rPr>
  </w:style>
  <w:style w:type="character" w:styleId="aa">
    <w:name w:val="footnote reference"/>
    <w:basedOn w:val="a0"/>
    <w:uiPriority w:val="99"/>
    <w:semiHidden/>
    <w:unhideWhenUsed/>
    <w:rsid w:val="00CE3626"/>
    <w:rPr>
      <w:vertAlign w:val="superscript"/>
    </w:rPr>
  </w:style>
  <w:style w:type="table" w:styleId="ab">
    <w:name w:val="Table Grid"/>
    <w:basedOn w:val="a1"/>
    <w:uiPriority w:val="59"/>
    <w:rsid w:val="00CE3626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57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7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734A-4421-4565-A498-55AAD0F0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12087</Words>
  <Characters>6890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cp:lastPrinted>2019-12-08T19:30:00Z</cp:lastPrinted>
  <dcterms:created xsi:type="dcterms:W3CDTF">2019-11-13T23:49:00Z</dcterms:created>
  <dcterms:modified xsi:type="dcterms:W3CDTF">2019-12-12T09:05:00Z</dcterms:modified>
</cp:coreProperties>
</file>